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AE5D" w14:textId="77777777" w:rsidR="00F5418E" w:rsidRPr="00132EF1" w:rsidRDefault="00F5418E" w:rsidP="00F5418E">
      <w:pPr>
        <w:shd w:val="clear" w:color="auto" w:fill="FFFFFF"/>
        <w:spacing w:after="300" w:line="240" w:lineRule="auto"/>
        <w:textAlignment w:val="baseline"/>
        <w:outlineLvl w:val="0"/>
        <w:rPr>
          <w:rFonts w:ascii="Arial" w:eastAsia="Times New Roman" w:hAnsi="Arial" w:cs="Arial"/>
          <w:color w:val="0056A8"/>
          <w:kern w:val="36"/>
          <w:sz w:val="44"/>
          <w:szCs w:val="44"/>
          <w:lang w:val="uk-UA" w:eastAsia="ru-UA"/>
        </w:rPr>
      </w:pPr>
      <w:r w:rsidRPr="00132EF1">
        <w:rPr>
          <w:rFonts w:ascii="Arial" w:eastAsia="Times New Roman" w:hAnsi="Arial" w:cs="Arial"/>
          <w:color w:val="0056A8"/>
          <w:kern w:val="36"/>
          <w:sz w:val="44"/>
          <w:szCs w:val="44"/>
          <w:lang w:val="uk-UA" w:eastAsia="ru-UA"/>
        </w:rPr>
        <w:t>Розкриття інформації</w:t>
      </w:r>
    </w:p>
    <w:tbl>
      <w:tblPr>
        <w:tblW w:w="15160" w:type="dxa"/>
        <w:tblBorders>
          <w:top w:val="single" w:sz="6" w:space="0" w:color="014B9C"/>
          <w:left w:val="single" w:sz="6" w:space="0" w:color="014B9C"/>
          <w:bottom w:val="single" w:sz="6" w:space="0" w:color="014B9C"/>
          <w:right w:val="single" w:sz="6" w:space="0" w:color="014B9C"/>
        </w:tblBorders>
        <w:shd w:val="clear" w:color="auto" w:fill="FFFFFF"/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5379"/>
        <w:gridCol w:w="9781"/>
      </w:tblGrid>
      <w:tr w:rsidR="00F5418E" w:rsidRPr="00132EF1" w14:paraId="1CCA9A67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584BD118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перелік послуг, що надаються фінансовою установою, порядок та умови їх надання(п.1 ч.1 ст.12 Закону)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перелік фінансових послуг, що надаються фінансовою установою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(п.2 ч.4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6FA15F1C" w14:textId="77BC196A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надання коштів у позику, в тому числі і на умовах фінансового кредиту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порядок і умови надання послуг вказані у Внутрішніх надання коштів у позику, в тому числі і на умовах фінансового кредиту ТОВ «ФКУ «ПОДІЛЯ – КРЕДИТ», розміщених на сайті</w:t>
            </w:r>
          </w:p>
        </w:tc>
      </w:tr>
      <w:tr w:rsidR="00F5418E" w:rsidRPr="00132EF1" w14:paraId="0CEB6760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2392242E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вартість, ціна/тарифи, розмір плати (проценти) щодо фінансових послуг залежно від виду фінансової послуги;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(п.2 ч.1 ст.12-1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3882CC7B" w14:textId="34650B4D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вартість, ціна/тарифи, розмір плати (проценти) </w:t>
            </w:r>
            <w:r w:rsidR="00952056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відображаються в закладці «Кредитування», а також при Розрахунку кредиту онлайн в кредитному калькуляторі</w:t>
            </w:r>
          </w:p>
        </w:tc>
      </w:tr>
      <w:tr w:rsidR="00F5418E" w:rsidRPr="00132EF1" w14:paraId="1D14C9ED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3DE97570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механізми захисту прав споживачів фінансових послуг: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можливість та порядок позасудового розгляду скарг споживачів фінансових послуг;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наявність гарантійних фондів чи компенсаційних схем, що застосовуються відповідно до законодавства.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(п.3 ч.1 ст.12 та п.4 ч.2 ст.12 Закону)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контактна інформація органу, який здійснює державне регулювання щодо діяльності особи, яка надає фінансові послуги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підп.д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п.1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39CF5D82" w14:textId="4137189F" w:rsidR="00A225FA" w:rsidRPr="00132EF1" w:rsidRDefault="00A225FA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Інформація про механізми захисту прав споживачів фінансових послуг, контактна інформація органу, який здійснює державне регулювання щодо діяльності особи, яка надає фінансові послуги розташована на сайті в закладці «Додаткова інформація».</w:t>
            </w:r>
          </w:p>
          <w:p w14:paraId="79B87302" w14:textId="34211F78" w:rsidR="00A225FA" w:rsidRPr="00132EF1" w:rsidRDefault="00A225FA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</w:p>
          <w:p w14:paraId="404B1FEE" w14:textId="5046C628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Наявність гарантійних фондів чи компенсаційних схем, що застосовуються відповідно до законодавства  - відсутні.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</w:r>
          </w:p>
        </w:tc>
      </w:tr>
      <w:tr w:rsidR="00F5418E" w:rsidRPr="00132EF1" w14:paraId="772F3F33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4193421E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відомості про фінансові показники діяльності фінансової установи та її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lastRenderedPageBreak/>
              <w:t>економічний стан, які підлягають обов'язковому оприлюдненню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(п.1 ч.1 ст.12 Закону)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фінансова та консолідована фінансова звітність, яка складається та подається відповідно до законодавства;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(п.1 ч.1 ст.12-1 Закону)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- звітні дані (інші, ніж фінансова та консолідована фінансова звітність), що складаються та подаються відповідно до вимог законів з питань регулювання ринків фінансових послуг та прийнятих згідно з такими законами нормативно-правових актів органів, які здійснюють державне регулювання ринків фінансових послуг;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(п.3 ч.1 ст.12-1 Закону)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річну фінансову та консолідовану фінансову звітність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(п.7 ч.4 ст.12-1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24291ACB" w14:textId="7074357C" w:rsidR="00A225FA" w:rsidRPr="00132EF1" w:rsidRDefault="00F5418E" w:rsidP="00A22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lastRenderedPageBreak/>
              <w:t xml:space="preserve">Відомості, звітність, звітні дані </w:t>
            </w:r>
            <w:r w:rsidR="00A225FA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розташовані на сайті в закладці «Додаткова інформація».</w:t>
            </w:r>
          </w:p>
          <w:p w14:paraId="495C5B81" w14:textId="57F5B0D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</w:p>
        </w:tc>
      </w:tr>
      <w:tr w:rsidR="00F5418E" w:rsidRPr="00132EF1" w14:paraId="1FA613EA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6A987179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перелік керівників фінансової установи та її відокремлених підрозділів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(п.2 ч.1 ст.12 Закону)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відомості про склад наглядової ради та виконавчого органу фінансової установи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(п.4 ч.4 ст.12-1 Закону) відомості про відокремлені підрозділи фінансової установи;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(п.5 ч.4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3E2C949E" w14:textId="77777777" w:rsidR="00A225FA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Виконавчий орган фінансової установи – директор </w:t>
            </w:r>
            <w:r w:rsidR="00A225FA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Фролов Олександр Олександрович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</w:r>
            <w:r w:rsidR="00A225FA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В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ідокремлені підрозділи </w:t>
            </w:r>
            <w:r w:rsidR="00A225FA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у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фінансової установи</w:t>
            </w:r>
            <w:r w:rsidR="00A225FA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відсутні</w:t>
            </w:r>
          </w:p>
          <w:p w14:paraId="7546292A" w14:textId="6212FA9C" w:rsidR="00F5418E" w:rsidRPr="00132EF1" w:rsidRDefault="00A225FA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Наг</w:t>
            </w:r>
            <w:r w:rsidR="00F5418E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лядова рада відсутня</w:t>
            </w:r>
          </w:p>
        </w:tc>
      </w:tr>
      <w:tr w:rsidR="00F5418E" w:rsidRPr="00132EF1" w14:paraId="3783D46F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4156C1F6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lastRenderedPageBreak/>
              <w:t>кількість акцій фінансової установи та розмір часток, які знаходяться у власності членів її виконавчого органу, а також перелік осіб, частки яких у статутному капіталі фінансової установи або належна їм кількість акцій фінансової установи перевищують 5 відсотків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(п.3 ч.1 ст.12 Закону)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відомості про власників істотної участі (у тому числі осіб, які здійснюють контроль за фінансовою установою)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(ч.4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385BDEEC" w14:textId="7D6CE369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Відомості про учасників фінансової установи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розташовані на сайті в закладці «Додаткова інформація».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</w:r>
          </w:p>
        </w:tc>
      </w:tr>
      <w:tr w:rsidR="00F5418E" w:rsidRPr="00132EF1" w14:paraId="62A62EBB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577971DA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найменування (для фізичної особи - підприємця: прізвище, ім'я та (за наявності) по батькові),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місцезнаходження, контактний телефон і адреса електронної пошти особи, яка надає фінансові послуги, адреса, за якою приймаються скарги споживачів фінансових послуг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підп.а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п.1 ч.2 ст.12 Закону)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повне найменування, ідентифікаційний код та місцезнаходження фінансової установи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 xml:space="preserve">(ч.4 ст.12-1 Закону про 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фінпослуги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4A61EE3C" w14:textId="77777777" w:rsidR="009C7961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ТОВАРИСТВО З ОБМЕЖЕНОЮ ВІДПОВІДАЛЬНІСТЮ 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«ФІНАНСОВО КРЕДИТНА УСТАНОВА «ПОДІЛЛЯ – КРЕДИТ»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 xml:space="preserve">Код території за КОАТУУ </w:t>
            </w:r>
            <w:r w:rsidR="009C7961" w:rsidRPr="00132EF1"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>0510100000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, 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21005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, м. 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Вінниця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, вул. 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Зодчих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, 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буд.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1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5, прим. 147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(04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32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) 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50-88-20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https://fku.koncern-podillya.com.ua </w:t>
            </w:r>
          </w:p>
          <w:p w14:paraId="691195A1" w14:textId="69D61844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ідентифікаційний код 3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9799390</w:t>
            </w:r>
          </w:p>
        </w:tc>
      </w:tr>
      <w:tr w:rsidR="00F5418E" w:rsidRPr="00132EF1" w14:paraId="553688C2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1C5BB5B2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відомості про державну реєстрацію особи, яка надає фінансові послуги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підп.в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п.1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05562783" w14:textId="4BEB87C5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Зареєстроване 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23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.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05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.201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5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 xml:space="preserve">Дата запису: 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23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.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05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.201</w:t>
            </w:r>
            <w:r w:rsidR="009C7961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5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Номер запису: 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11741020000013199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 xml:space="preserve">Ідентифікаційний код 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39799390</w:t>
            </w:r>
          </w:p>
        </w:tc>
      </w:tr>
      <w:tr w:rsidR="00F5418E" w:rsidRPr="00132EF1" w14:paraId="6CE25B73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28294ED9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lastRenderedPageBreak/>
              <w:t>інформація щодо включення фінансової установи до відповідного державного реєстру фінансових установ або Державного реєстру банків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підп.г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п.1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53C2A28A" w14:textId="6E53AF66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ТОВ 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«ФКУ «ПОДІЛЛЯ – КРЕДИТ»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включене до державного реєстру фінансових установ, що підтверджується свідоцтвом про реєстрацію фінансової установи 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серїї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</w:t>
            </w:r>
            <w:r w:rsidR="00C13A0D" w:rsidRPr="00132EF1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ІК № 149 від 29.10.2015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, виданим 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Держфінпослуг</w:t>
            </w:r>
            <w:proofErr w:type="spellEnd"/>
          </w:p>
        </w:tc>
      </w:tr>
      <w:tr w:rsidR="00F5418E" w:rsidRPr="00132EF1" w14:paraId="20724BB2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42DB4A61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інформація щодо наявності в особи, яка надає фінансові послуги, права на надання відповідної фінансової послуги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підп.ґ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п.1 ч.2 ст.12 Закону)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відомості про ліцензії та дозволи, видані фінансовій установі;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(п.6 ч.4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71C151F6" w14:textId="26918FD9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право на надання коштів у позику, в тому числі і на умовах фінансового кредиту, підтверджується безстроковою ліцензією на надання коштів у позику, в тому числі і на умовах фінансового кредиту, виданою 2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2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.0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6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.2017 згідно розпорядження 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Нацкомфінпослуг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від 2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2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.0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6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.2017 №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2804</w:t>
            </w:r>
          </w:p>
        </w:tc>
      </w:tr>
      <w:tr w:rsidR="00F5418E" w:rsidRPr="00132EF1" w14:paraId="1F064747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5BCEB2EB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загальна сума зборів, платежів та інших витрат, які повинен сплатити клієнт, включно з податками, або якщо конкретний розмір не може бути визначений - порядок визначення таких витрат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(п.2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23B2D79C" w14:textId="025A3CD8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порядок визначення витрат встановлений 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Правилами розрахунку небанківськими фінансовими </w:t>
            </w:r>
            <w:proofErr w:type="spellStart"/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установамиУкраїни</w:t>
            </w:r>
            <w:proofErr w:type="spellEnd"/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загальної вартості кредиту для споживача, реальної річної процентної ставки за договором про споживчий кредит, затверджен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ими постановою Правління </w:t>
            </w:r>
            <w:proofErr w:type="spellStart"/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Націвонального</w:t>
            </w:r>
            <w:proofErr w:type="spellEnd"/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банку України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від 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11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.0</w:t>
            </w:r>
            <w:r w:rsidR="00C13A0D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2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.20</w:t>
            </w:r>
            <w:r w:rsidR="005B30BA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21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р. N </w:t>
            </w:r>
            <w:r w:rsidR="005B30BA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16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Клієнт не повинен сплачувати податки в зв’язку з укладенням кредитного договору.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В паспорті кредиту вказу</w:t>
            </w:r>
            <w:r w:rsidR="005B30BA"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ю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ться цифрові значення витрат залежно від обраних споживачем конкретних умов.</w:t>
            </w:r>
          </w:p>
        </w:tc>
      </w:tr>
      <w:tr w:rsidR="00F5418E" w:rsidRPr="00132EF1" w14:paraId="1070B8A3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4EE92CD5" w14:textId="77777777" w:rsidR="00F5418E" w:rsidRPr="00132EF1" w:rsidRDefault="00F5418E" w:rsidP="00F54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наявність у клієнта права на відмову від договору про надання фінансових послуг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підп.а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п.3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6269D080" w14:textId="4D49A7D6" w:rsidR="00F5418E" w:rsidRPr="00132EF1" w:rsidRDefault="005D7E6B" w:rsidP="005D7E6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враховуючи те, що ТОВ «ФКУ «ПОДІЛЛЯ-КРЕДИТ» надає виключно споживчі кредити,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виконання зобов’язань за якими забезпечено шляхом укладення нотаріально посвідчених договорів (правочинів), відповідно п.6.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ст.15 Закону України «Про споживче кредитування» п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раво на відмову від договору про споживчий кредит не застосовується.</w:t>
            </w:r>
          </w:p>
        </w:tc>
      </w:tr>
      <w:tr w:rsidR="001D78EF" w:rsidRPr="00132EF1" w14:paraId="509434B1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4F67FB8A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lastRenderedPageBreak/>
              <w:t>строк, протягом якого клієнтом може бути використано право на відмову від договору, а також інші умови використання права на відмову від договору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підп.б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п.3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6329AB0E" w14:textId="53C2C72F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враховуючи те, що ТОВ «ФКУ «ПОДІЛЛЯ-КРЕДИТ» надає виключно споживчі кредити,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виконання зобов’язань за якими забезпечено шляхом укладення нотаріально посвідчених договорів (правочинів), відповідно п.6.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ст.15 Закону України «Про споживче кредитування» п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раво на відмову від договору про споживчий кредит не застосовується.</w:t>
            </w:r>
          </w:p>
        </w:tc>
      </w:tr>
      <w:tr w:rsidR="001D78EF" w:rsidRPr="00132EF1" w14:paraId="73BB1B4F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60B646C3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мінімальний строк дії договору (якщо застосовується)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підп.в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п.3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4BC58639" w14:textId="530515DF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Не застосовується</w:t>
            </w:r>
          </w:p>
        </w:tc>
      </w:tr>
      <w:tr w:rsidR="001D78EF" w:rsidRPr="00132EF1" w14:paraId="1A998002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6C13A766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наявність у клієнта права розірвати чи припинити договір, права дострокового виконання договору, а також наслідки таких дій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підп.г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п.3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4909DE14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Позичальник має право достроково розірвати договір, повністю повернувши одержаний Кредит, Проценти та інші платежі, передбачені Договором.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 xml:space="preserve">Клієнт має право достроково повернути кредит без будь-якої додаткової плати, пов'язаної з достроковим поверненням. Клієнт у разі дострокового повернення кредиту сплачує 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кредитодавцю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проценти за користування кредитом, за період фактичного користування кредитом</w:t>
            </w:r>
          </w:p>
        </w:tc>
      </w:tr>
      <w:tr w:rsidR="001D78EF" w:rsidRPr="00132EF1" w14:paraId="754E918F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0DD07EEF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порядок внесення змін та доповнень до договору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підп.ґ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п.3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12A23EC4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всі додатки, зміни та доповнення до договору мають бути вчинені в письмовій формі та підписані належним чином сторонами з обов’язковим посиланням на договір</w:t>
            </w:r>
          </w:p>
        </w:tc>
      </w:tr>
      <w:tr w:rsidR="001D78EF" w:rsidRPr="00132EF1" w14:paraId="4E19439B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6233092B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неможливість збільшення фіксованої процентної ставки за договором без письмової згоди споживача фінансової послуги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</w:t>
            </w:r>
            <w:proofErr w:type="spellStart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підп.д</w:t>
            </w:r>
            <w:proofErr w:type="spellEnd"/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п.3 ч.2 ст.12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5AF397F4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неможливо збільшити фіксовану процентну ставку за договором без письмової згоди споживача фінансової послуги</w:t>
            </w:r>
          </w:p>
        </w:tc>
      </w:tr>
      <w:tr w:rsidR="001D78EF" w:rsidRPr="00132EF1" w14:paraId="50E0D9EF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3A437497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відомості про порушення провадження у справі про банкрутство, застосування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lastRenderedPageBreak/>
              <w:t>процедури санації фінансової установи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(п.8 ч.4 ст.12-1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48DC922E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lastRenderedPageBreak/>
              <w:t>не порушувалось провадження у справі про банкрутство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процедура санації фінансової установи не застосовувалась</w:t>
            </w:r>
          </w:p>
        </w:tc>
      </w:tr>
      <w:tr w:rsidR="001D78EF" w:rsidRPr="00132EF1" w14:paraId="6C9EFD65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5D157CE4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рішення про ліквідацію фінансової установи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br/>
              <w:t>(п.9 ч.4 ст.12-1 Закону)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14:paraId="1C651338" w14:textId="77777777" w:rsidR="001D78EF" w:rsidRPr="00132EF1" w:rsidRDefault="001D78EF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рішення про ліквідацію фінансової установи не приймалось</w:t>
            </w:r>
          </w:p>
        </w:tc>
      </w:tr>
      <w:tr w:rsidR="00132EF1" w:rsidRPr="00132EF1" w14:paraId="6EB1EE3C" w14:textId="77777777" w:rsidTr="00F5418E">
        <w:tc>
          <w:tcPr>
            <w:tcW w:w="537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14:paraId="4AD69183" w14:textId="63F5E467" w:rsidR="00132EF1" w:rsidRPr="00132EF1" w:rsidRDefault="00132EF1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Попередження споживача</w:t>
            </w:r>
            <w:r w:rsidR="00234D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 xml:space="preserve"> </w:t>
            </w: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у разі користування послугою споживчого кредитування</w:t>
            </w:r>
          </w:p>
          <w:p w14:paraId="6C7473CF" w14:textId="0D00B5B9" w:rsidR="00132EF1" w:rsidRPr="00132EF1" w:rsidRDefault="00132EF1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  <w:r w:rsidRPr="00132EF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  <w:t>(пп.7 п.16 Положення № 100)</w:t>
            </w:r>
          </w:p>
        </w:tc>
        <w:tc>
          <w:tcPr>
            <w:tcW w:w="978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14:paraId="5BE6AC40" w14:textId="3536B0B2" w:rsidR="00234D8E" w:rsidRPr="00234D8E" w:rsidRDefault="00234D8E" w:rsidP="00234D8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lang w:val="uk-UA"/>
              </w:rPr>
            </w:pPr>
            <w:r w:rsidRPr="00234D8E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 xml:space="preserve">- </w:t>
            </w:r>
            <w:r w:rsidRPr="00234D8E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>наслідками укладення кредитного договору та користування споживчим кредитом є виникнення зобов’язань споживача за цим кредитним договором, зокрема, зобов’язання повернути кредит та сплатити платежі за договором</w:t>
            </w:r>
            <w:r w:rsidRPr="00234D8E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>;</w:t>
            </w:r>
          </w:p>
          <w:p w14:paraId="69AEDF86" w14:textId="41B9D7CF" w:rsidR="00132EF1" w:rsidRPr="00234D8E" w:rsidRDefault="00234D8E" w:rsidP="0062397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lang w:val="uk-UA"/>
              </w:rPr>
            </w:pPr>
            <w:r w:rsidRPr="00234D8E">
              <w:rPr>
                <w:rFonts w:ascii="Arial" w:hAnsi="Arial" w:cs="Arial"/>
                <w:color w:val="333333"/>
                <w:lang w:val="uk-UA"/>
              </w:rPr>
              <w:t xml:space="preserve">- </w:t>
            </w:r>
            <w:r w:rsidRPr="00234D8E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>наслідками невиконання споживачем обов’язків згідно з договором про споживчий кредит є настання відповідальності споживача за невиконання зобов’язання, встановленої договором та/або законом</w:t>
            </w:r>
            <w:r w:rsidRPr="00234D8E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 xml:space="preserve">. Види та розміри відповідальності </w:t>
            </w:r>
            <w:r w:rsidR="0062397D" w:rsidRPr="00234D8E">
              <w:rPr>
                <w:rFonts w:ascii="Arial" w:hAnsi="Arial" w:cs="Arial"/>
                <w:color w:val="333333"/>
                <w:lang w:val="uk-UA"/>
              </w:rPr>
              <w:t xml:space="preserve">викладені в типовому </w:t>
            </w:r>
            <w:r w:rsidR="00DD1CB8" w:rsidRPr="00234D8E">
              <w:rPr>
                <w:rFonts w:ascii="Arial" w:hAnsi="Arial" w:cs="Arial"/>
                <w:color w:val="333333"/>
                <w:lang w:val="uk-UA"/>
              </w:rPr>
              <w:t>К</w:t>
            </w:r>
            <w:r w:rsidR="0062397D" w:rsidRPr="00234D8E">
              <w:rPr>
                <w:rFonts w:ascii="Arial" w:hAnsi="Arial" w:cs="Arial"/>
                <w:color w:val="333333"/>
                <w:lang w:val="uk-UA"/>
              </w:rPr>
              <w:t>редитному дого</w:t>
            </w:r>
            <w:r w:rsidR="00DD1CB8" w:rsidRPr="00234D8E">
              <w:rPr>
                <w:rFonts w:ascii="Arial" w:hAnsi="Arial" w:cs="Arial"/>
                <w:color w:val="333333"/>
                <w:lang w:val="uk-UA"/>
              </w:rPr>
              <w:t>ворі, якій розміщений на сайті установи;</w:t>
            </w:r>
          </w:p>
          <w:p w14:paraId="74C21A5A" w14:textId="06D6C2D6" w:rsidR="00132EF1" w:rsidRPr="0062397D" w:rsidRDefault="0062397D" w:rsidP="0062397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lang w:val="uk-UA"/>
              </w:rPr>
            </w:pPr>
            <w:bookmarkStart w:id="0" w:name="n63"/>
            <w:bookmarkEnd w:id="0"/>
            <w:r>
              <w:rPr>
                <w:rFonts w:ascii="Arial" w:hAnsi="Arial" w:cs="Arial"/>
                <w:color w:val="333333"/>
                <w:lang w:val="uk-UA"/>
              </w:rPr>
              <w:t>-</w:t>
            </w:r>
            <w:r w:rsidR="00132EF1" w:rsidRPr="0062397D">
              <w:rPr>
                <w:rFonts w:ascii="Arial" w:hAnsi="Arial" w:cs="Arial"/>
                <w:color w:val="333333"/>
                <w:lang w:val="uk-UA"/>
              </w:rPr>
              <w:t xml:space="preserve"> порушення виконання зобов'язання щодо повернення споживчого кредиту може вплинути на кредитну історію та ускладнити отримання споживчого кредиту надалі;</w:t>
            </w:r>
          </w:p>
          <w:p w14:paraId="5579E681" w14:textId="16ABC485" w:rsidR="00132EF1" w:rsidRPr="0062397D" w:rsidRDefault="0062397D" w:rsidP="0062397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lang w:val="uk-UA"/>
              </w:rPr>
            </w:pPr>
            <w:bookmarkStart w:id="1" w:name="n64"/>
            <w:bookmarkEnd w:id="1"/>
            <w:r>
              <w:rPr>
                <w:rFonts w:ascii="Arial" w:hAnsi="Arial" w:cs="Arial"/>
                <w:color w:val="333333"/>
                <w:lang w:val="uk-UA"/>
              </w:rPr>
              <w:t>-</w:t>
            </w:r>
            <w:r w:rsidR="00132EF1" w:rsidRPr="0062397D">
              <w:rPr>
                <w:rFonts w:ascii="Arial" w:hAnsi="Arial" w:cs="Arial"/>
                <w:color w:val="333333"/>
                <w:lang w:val="uk-UA"/>
              </w:rPr>
              <w:t xml:space="preserve"> фінансовій установі забороняється вимагати від споживача придбання будь-яких товарів чи послуг від фінансової установи або спорідненої чи пов'язаної з ним особи як обов'язкову умову надання споживчого кредиту;</w:t>
            </w:r>
          </w:p>
          <w:p w14:paraId="408CCDC9" w14:textId="38B2A431" w:rsidR="00132EF1" w:rsidRPr="0062397D" w:rsidRDefault="0062397D" w:rsidP="0062397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lang w:val="uk-UA"/>
              </w:rPr>
            </w:pPr>
            <w:bookmarkStart w:id="2" w:name="n65"/>
            <w:bookmarkEnd w:id="2"/>
            <w:r>
              <w:rPr>
                <w:rFonts w:ascii="Arial" w:hAnsi="Arial" w:cs="Arial"/>
                <w:color w:val="333333"/>
                <w:lang w:val="uk-UA"/>
              </w:rPr>
              <w:t xml:space="preserve">- </w:t>
            </w:r>
            <w:r w:rsidR="00132EF1" w:rsidRPr="0062397D">
              <w:rPr>
                <w:rFonts w:ascii="Arial" w:hAnsi="Arial" w:cs="Arial"/>
                <w:color w:val="333333"/>
                <w:lang w:val="uk-UA"/>
              </w:rPr>
              <w:t>для прийняття усвідомленого рішення щодо отримання споживчого кредиту на запропонованих умовах споживач має право розглянути альтернативні різновиди споживчих кредитів та фінансових установ;</w:t>
            </w:r>
          </w:p>
          <w:p w14:paraId="74BF7993" w14:textId="38A53966" w:rsidR="00132EF1" w:rsidRPr="0062397D" w:rsidRDefault="0062397D" w:rsidP="0062397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lang w:val="uk-UA"/>
              </w:rPr>
            </w:pPr>
            <w:bookmarkStart w:id="3" w:name="n66"/>
            <w:bookmarkEnd w:id="3"/>
            <w:r>
              <w:rPr>
                <w:rFonts w:ascii="Arial" w:hAnsi="Arial" w:cs="Arial"/>
                <w:color w:val="333333"/>
                <w:lang w:val="uk-UA"/>
              </w:rPr>
              <w:t xml:space="preserve">- </w:t>
            </w:r>
            <w:r w:rsidR="00132EF1" w:rsidRPr="0062397D">
              <w:rPr>
                <w:rFonts w:ascii="Arial" w:hAnsi="Arial" w:cs="Arial"/>
                <w:color w:val="333333"/>
                <w:lang w:val="uk-UA"/>
              </w:rPr>
              <w:t>фінансова установа має право вносити зміни до укладених зі споживачами договорів про споживчий кредит тільки за згодою сторін;</w:t>
            </w:r>
          </w:p>
          <w:p w14:paraId="70A7E945" w14:textId="10896EAC" w:rsidR="00132EF1" w:rsidRPr="0062397D" w:rsidRDefault="0062397D" w:rsidP="0062397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lang w:val="uk-UA"/>
              </w:rPr>
            </w:pPr>
            <w:bookmarkStart w:id="4" w:name="n67"/>
            <w:bookmarkEnd w:id="4"/>
            <w:r>
              <w:rPr>
                <w:rFonts w:ascii="Arial" w:hAnsi="Arial" w:cs="Arial"/>
                <w:color w:val="333333"/>
                <w:lang w:val="uk-UA"/>
              </w:rPr>
              <w:t xml:space="preserve">- </w:t>
            </w:r>
            <w:r w:rsidR="00132EF1" w:rsidRPr="0062397D">
              <w:rPr>
                <w:rFonts w:ascii="Arial" w:hAnsi="Arial" w:cs="Arial"/>
                <w:color w:val="333333"/>
                <w:lang w:val="uk-UA"/>
              </w:rPr>
              <w:t>споживач</w:t>
            </w:r>
            <w:r>
              <w:rPr>
                <w:rFonts w:ascii="Arial" w:hAnsi="Arial" w:cs="Arial"/>
                <w:color w:val="333333"/>
                <w:lang w:val="uk-UA"/>
              </w:rPr>
              <w:t xml:space="preserve"> має можливість</w:t>
            </w:r>
            <w:r w:rsidR="00132EF1" w:rsidRPr="0062397D">
              <w:rPr>
                <w:rFonts w:ascii="Arial" w:hAnsi="Arial" w:cs="Arial"/>
                <w:color w:val="333333"/>
                <w:lang w:val="uk-UA"/>
              </w:rPr>
              <w:t xml:space="preserve"> відмовитися від отримання рекламних матеріалів засобами дистанційних каналів комунікації;</w:t>
            </w:r>
          </w:p>
          <w:p w14:paraId="74ACF96B" w14:textId="3D88A442" w:rsidR="00132EF1" w:rsidRPr="0062397D" w:rsidRDefault="0062397D" w:rsidP="0062397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lang w:val="uk-UA"/>
              </w:rPr>
            </w:pPr>
            <w:bookmarkStart w:id="5" w:name="n68"/>
            <w:bookmarkEnd w:id="5"/>
            <w:r>
              <w:rPr>
                <w:rFonts w:ascii="Arial" w:hAnsi="Arial" w:cs="Arial"/>
                <w:color w:val="333333"/>
                <w:lang w:val="uk-UA"/>
              </w:rPr>
              <w:t xml:space="preserve">- </w:t>
            </w:r>
            <w:r w:rsidR="00132EF1" w:rsidRPr="0062397D">
              <w:rPr>
                <w:rFonts w:ascii="Arial" w:hAnsi="Arial" w:cs="Arial"/>
                <w:color w:val="333333"/>
                <w:lang w:val="uk-UA"/>
              </w:rPr>
              <w:t>можливі витрати на сплату споживачем платежів за користування споживчим кредитом залежать від обраного споживачем способу сплати;</w:t>
            </w:r>
          </w:p>
          <w:p w14:paraId="2AE979BB" w14:textId="3494869D" w:rsidR="00132EF1" w:rsidRPr="0062397D" w:rsidRDefault="0062397D" w:rsidP="0062397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lang w:val="uk-UA"/>
              </w:rPr>
            </w:pPr>
            <w:bookmarkStart w:id="6" w:name="n69"/>
            <w:bookmarkEnd w:id="6"/>
            <w:r>
              <w:rPr>
                <w:rFonts w:ascii="Arial" w:hAnsi="Arial" w:cs="Arial"/>
                <w:color w:val="333333"/>
                <w:lang w:val="uk-UA"/>
              </w:rPr>
              <w:t xml:space="preserve">- </w:t>
            </w:r>
            <w:r w:rsidR="00132EF1" w:rsidRPr="0062397D">
              <w:rPr>
                <w:rFonts w:ascii="Arial" w:hAnsi="Arial" w:cs="Arial"/>
                <w:color w:val="333333"/>
                <w:lang w:val="uk-UA"/>
              </w:rPr>
              <w:t>ініціювання споживачем продовження (</w:t>
            </w:r>
            <w:proofErr w:type="spellStart"/>
            <w:r w:rsidR="00132EF1" w:rsidRPr="0062397D">
              <w:rPr>
                <w:rFonts w:ascii="Arial" w:hAnsi="Arial" w:cs="Arial"/>
                <w:color w:val="333333"/>
                <w:lang w:val="uk-UA"/>
              </w:rPr>
              <w:t>лонгації</w:t>
            </w:r>
            <w:proofErr w:type="spellEnd"/>
            <w:r w:rsidR="00132EF1" w:rsidRPr="0062397D">
              <w:rPr>
                <w:rFonts w:ascii="Arial" w:hAnsi="Arial" w:cs="Arial"/>
                <w:color w:val="333333"/>
                <w:lang w:val="uk-UA"/>
              </w:rPr>
              <w:t xml:space="preserve">, пролонгації) строку погашення споживчого кредиту (строку виконання грошового зобов'язання)/строку кредитування/строку дії договору про споживчий кредит здійснюється без змін або </w:t>
            </w:r>
            <w:r w:rsidR="00132EF1" w:rsidRPr="0062397D">
              <w:rPr>
                <w:rFonts w:ascii="Arial" w:hAnsi="Arial" w:cs="Arial"/>
                <w:color w:val="333333"/>
                <w:lang w:val="uk-UA"/>
              </w:rPr>
              <w:lastRenderedPageBreak/>
              <w:t>зі зміною умов попередньо укладеного договору в бік погіршення для споживача із зазначенням переліку та цифрового значення умов, що підлягають зміні;</w:t>
            </w:r>
          </w:p>
          <w:p w14:paraId="4A8BC283" w14:textId="77777777" w:rsidR="00132EF1" w:rsidRPr="00132EF1" w:rsidRDefault="00132EF1" w:rsidP="001D7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UA"/>
              </w:rPr>
            </w:pPr>
          </w:p>
        </w:tc>
      </w:tr>
    </w:tbl>
    <w:p w14:paraId="71530601" w14:textId="664692FC" w:rsidR="00077D11" w:rsidRPr="00132EF1" w:rsidRDefault="00077D11">
      <w:pPr>
        <w:rPr>
          <w:rFonts w:ascii="Arial" w:hAnsi="Arial" w:cs="Arial"/>
          <w:sz w:val="20"/>
          <w:szCs w:val="20"/>
          <w:lang w:val="uk-UA"/>
        </w:rPr>
      </w:pPr>
    </w:p>
    <w:sectPr w:rsidR="00077D11" w:rsidRPr="00132EF1" w:rsidSect="00F54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3B6"/>
    <w:multiLevelType w:val="hybridMultilevel"/>
    <w:tmpl w:val="A4327B2A"/>
    <w:lvl w:ilvl="0" w:tplc="DBF297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6608C"/>
    <w:multiLevelType w:val="hybridMultilevel"/>
    <w:tmpl w:val="4F5C077C"/>
    <w:lvl w:ilvl="0" w:tplc="CAB406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580">
    <w:abstractNumId w:val="1"/>
  </w:num>
  <w:num w:numId="2" w16cid:durableId="129625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8E"/>
    <w:rsid w:val="00077D11"/>
    <w:rsid w:val="00132EF1"/>
    <w:rsid w:val="001D78EF"/>
    <w:rsid w:val="00234D8E"/>
    <w:rsid w:val="003962D4"/>
    <w:rsid w:val="005B30BA"/>
    <w:rsid w:val="005D7E6B"/>
    <w:rsid w:val="0062397D"/>
    <w:rsid w:val="008F7C30"/>
    <w:rsid w:val="00952056"/>
    <w:rsid w:val="009C7961"/>
    <w:rsid w:val="00A225FA"/>
    <w:rsid w:val="00B43BEA"/>
    <w:rsid w:val="00C13A0D"/>
    <w:rsid w:val="00C65BE3"/>
    <w:rsid w:val="00DD1CB8"/>
    <w:rsid w:val="00F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D871"/>
  <w15:chartTrackingRefBased/>
  <w15:docId w15:val="{5DC31AB1-5AF1-4C5A-B3E4-05C3FC36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18E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styleId="a3">
    <w:name w:val="Hyperlink"/>
    <w:basedOn w:val="a0"/>
    <w:uiPriority w:val="99"/>
    <w:semiHidden/>
    <w:unhideWhenUsed/>
    <w:rsid w:val="00F5418E"/>
    <w:rPr>
      <w:color w:val="0000FF"/>
      <w:u w:val="single"/>
    </w:rPr>
  </w:style>
  <w:style w:type="paragraph" w:customStyle="1" w:styleId="rvps2">
    <w:name w:val="rvps2"/>
    <w:basedOn w:val="a"/>
    <w:rsid w:val="0013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Podillya Kredit</dc:creator>
  <cp:keywords/>
  <dc:description/>
  <cp:lastModifiedBy>Александр Фролов</cp:lastModifiedBy>
  <cp:revision>4</cp:revision>
  <dcterms:created xsi:type="dcterms:W3CDTF">2021-06-14T06:57:00Z</dcterms:created>
  <dcterms:modified xsi:type="dcterms:W3CDTF">2022-08-04T07:09:00Z</dcterms:modified>
</cp:coreProperties>
</file>